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8E" w:rsidRPr="000A07F8" w:rsidRDefault="000D26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07F8">
        <w:rPr>
          <w:rFonts w:ascii="Times New Roman" w:hAnsi="Times New Roman" w:cs="Times New Roman"/>
          <w:sz w:val="24"/>
          <w:szCs w:val="24"/>
        </w:rPr>
        <w:t>CYP3A4 In</w:t>
      </w:r>
      <w:r w:rsidR="00BB3307">
        <w:rPr>
          <w:rFonts w:ascii="Times New Roman" w:hAnsi="Times New Roman" w:cs="Times New Roman"/>
          <w:sz w:val="24"/>
          <w:szCs w:val="24"/>
        </w:rPr>
        <w:t>hibitors</w:t>
      </w:r>
    </w:p>
    <w:p w:rsidR="000A07F8" w:rsidRPr="000A07F8" w:rsidRDefault="000A07F8">
      <w:pPr>
        <w:rPr>
          <w:rFonts w:ascii="Times New Roman" w:hAnsi="Times New Roman" w:cs="Times New Roman"/>
          <w:sz w:val="24"/>
          <w:szCs w:val="24"/>
        </w:rPr>
      </w:pPr>
    </w:p>
    <w:p w:rsidR="00BB3307" w:rsidRDefault="00BB3307" w:rsidP="00BB3307">
      <w:pPr>
        <w:pStyle w:val="NormalWeb"/>
      </w:pPr>
      <w:r>
        <w:t xml:space="preserve">Drugs that inhibit CYP3A4 activity will almost always increase the plasma concentrations of the CYP3A4 substrate medications. Some drugs, such as clarithromycin, </w:t>
      </w:r>
      <w:proofErr w:type="spellStart"/>
      <w:r>
        <w:t>itraconazole</w:t>
      </w:r>
      <w:proofErr w:type="spellEnd"/>
      <w:r>
        <w:t>, and ketoconazole, are particularly potent inhibitors of CYP3A4; patients on these drugs may have markedly reduced CYP3A4 activity.</w:t>
      </w:r>
    </w:p>
    <w:p w:rsidR="00BB3307" w:rsidRDefault="00BB3307" w:rsidP="00BB3307">
      <w:pPr>
        <w:pStyle w:val="NormalWeb"/>
      </w:pP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38"/>
      </w:tblGrid>
      <w:tr w:rsidR="00BB3307" w:rsidRPr="00BB3307" w:rsidTr="00BB3307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0092B5"/>
                <w:left w:val="single" w:sz="6" w:space="0" w:color="0092B5"/>
                <w:bottom w:val="single" w:sz="6" w:space="0" w:color="0092B5"/>
                <w:right w:val="single" w:sz="6" w:space="0" w:color="0092B5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4767"/>
              <w:gridCol w:w="4577"/>
            </w:tblGrid>
            <w:tr w:rsidR="00BB3307" w:rsidRPr="00BB33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3307" w:rsidRPr="00BB3307" w:rsidRDefault="00BB3307" w:rsidP="00BB33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Amiodarone</w:t>
                  </w:r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</w:r>
                  <w:proofErr w:type="spellStart"/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Amprenavir</w:t>
                  </w:r>
                  <w:proofErr w:type="spellEnd"/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</w:r>
                  <w:proofErr w:type="spellStart"/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Aprepitant</w:t>
                  </w:r>
                  <w:proofErr w:type="spellEnd"/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</w:r>
                  <w:proofErr w:type="spellStart"/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Atazanavir</w:t>
                  </w:r>
                  <w:proofErr w:type="spellEnd"/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  <w:t>Chloramphenicol</w:t>
                  </w:r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  <w:t>Clarithromycin</w:t>
                  </w:r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</w:r>
                  <w:proofErr w:type="spellStart"/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Conivaptan</w:t>
                  </w:r>
                  <w:proofErr w:type="spellEnd"/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  <w:t>Cyclosporine</w:t>
                  </w:r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</w:r>
                  <w:proofErr w:type="spellStart"/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Darunavir</w:t>
                  </w:r>
                  <w:proofErr w:type="spellEnd"/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</w:r>
                  <w:proofErr w:type="spellStart"/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Dasatinib</w:t>
                  </w:r>
                  <w:proofErr w:type="spellEnd"/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</w:r>
                  <w:proofErr w:type="spellStart"/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Delavirdine</w:t>
                  </w:r>
                  <w:proofErr w:type="spellEnd"/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  <w:t>Diltiazem</w:t>
                  </w:r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  <w:t>Erythromycin</w:t>
                  </w:r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  <w:t>Fluconazole</w:t>
                  </w:r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  <w:t>Fluoxetine</w:t>
                  </w:r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  <w:t>Fluvoxamine</w:t>
                  </w:r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</w:r>
                  <w:proofErr w:type="spellStart"/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Fosamprenavir</w:t>
                  </w:r>
                  <w:proofErr w:type="spellEnd"/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  <w:t xml:space="preserve">Grapefruit juice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3307" w:rsidRPr="00BB3307" w:rsidRDefault="00BB3307" w:rsidP="00BB33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proofErr w:type="spellStart"/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Imatinib</w:t>
                  </w:r>
                  <w:proofErr w:type="spellEnd"/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</w:r>
                  <w:proofErr w:type="spellStart"/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Indinavir</w:t>
                  </w:r>
                  <w:proofErr w:type="spellEnd"/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  <w:t>Isoniazid</w:t>
                  </w:r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</w:r>
                  <w:proofErr w:type="spellStart"/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Itraconazole</w:t>
                  </w:r>
                  <w:proofErr w:type="spellEnd"/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  <w:t>Ketoconazole</w:t>
                  </w:r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</w:r>
                  <w:proofErr w:type="spellStart"/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Lapatinib</w:t>
                  </w:r>
                  <w:proofErr w:type="spellEnd"/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  <w:t>Miconazole</w:t>
                  </w:r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</w:r>
                  <w:proofErr w:type="spellStart"/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Nefazodone</w:t>
                  </w:r>
                  <w:proofErr w:type="spellEnd"/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  <w:t>Nelfinavir</w:t>
                  </w:r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</w:r>
                  <w:proofErr w:type="spellStart"/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Posaconazole</w:t>
                  </w:r>
                  <w:proofErr w:type="spellEnd"/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  <w:t>Ritonavir</w:t>
                  </w:r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</w:r>
                  <w:proofErr w:type="spellStart"/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Quinupristin</w:t>
                  </w:r>
                  <w:proofErr w:type="spellEnd"/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</w:r>
                  <w:proofErr w:type="spellStart"/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Saquinavir</w:t>
                  </w:r>
                  <w:proofErr w:type="spellEnd"/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  <w:t>Tamoxifen</w:t>
                  </w:r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</w:r>
                  <w:proofErr w:type="spellStart"/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Telithromycin</w:t>
                  </w:r>
                  <w:proofErr w:type="spellEnd"/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</w:r>
                  <w:proofErr w:type="spellStart"/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Troleandomycin</w:t>
                  </w:r>
                  <w:proofErr w:type="spellEnd"/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  <w:t>Verapamil</w:t>
                  </w:r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br/>
                  </w:r>
                  <w:proofErr w:type="spellStart"/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Voriconazole</w:t>
                  </w:r>
                  <w:proofErr w:type="spellEnd"/>
                  <w:r w:rsidRPr="00BB3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 xml:space="preserve"> </w:t>
                  </w:r>
                </w:p>
              </w:tc>
            </w:tr>
          </w:tbl>
          <w:p w:rsidR="00BB3307" w:rsidRPr="00BB3307" w:rsidRDefault="00BB3307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CE2110" w:rsidRDefault="00CE2110" w:rsidP="00CE2110">
      <w:pPr>
        <w:pStyle w:val="Footer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Dr David Wikenheiser – Naturopathic Doctor</w:t>
      </w:r>
    </w:p>
    <w:p w:rsidR="00CE2110" w:rsidRDefault="00CE2110" w:rsidP="00CE2110">
      <w:pPr>
        <w:pStyle w:val="Foot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308, 1500 Hardy Street, Kelowna BC V1Y 8H2 250-762-8900</w:t>
      </w:r>
    </w:p>
    <w:p w:rsidR="00BB3307" w:rsidRDefault="00BB3307" w:rsidP="00BB3307">
      <w:pPr>
        <w:pStyle w:val="NormalWeb"/>
      </w:pPr>
    </w:p>
    <w:sectPr w:rsidR="00BB3307" w:rsidSect="000F6C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A4" w:rsidRDefault="006259A4" w:rsidP="00DF726C">
      <w:pPr>
        <w:spacing w:after="0" w:line="240" w:lineRule="auto"/>
      </w:pPr>
      <w:r>
        <w:separator/>
      </w:r>
    </w:p>
  </w:endnote>
  <w:endnote w:type="continuationSeparator" w:id="0">
    <w:p w:rsidR="006259A4" w:rsidRDefault="006259A4" w:rsidP="00DF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26C" w:rsidRDefault="00DF72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26C" w:rsidRDefault="00DF72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26C" w:rsidRDefault="00DF7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A4" w:rsidRDefault="006259A4" w:rsidP="00DF726C">
      <w:pPr>
        <w:spacing w:after="0" w:line="240" w:lineRule="auto"/>
      </w:pPr>
      <w:r>
        <w:separator/>
      </w:r>
    </w:p>
  </w:footnote>
  <w:footnote w:type="continuationSeparator" w:id="0">
    <w:p w:rsidR="006259A4" w:rsidRDefault="006259A4" w:rsidP="00DF7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26C" w:rsidRDefault="00DF72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981172" o:spid="_x0000_s2050" type="#_x0000_t136" style="position:absolute;margin-left:0;margin-top:0;width:595.95pt;height:6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26C" w:rsidRDefault="00DF72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981173" o:spid="_x0000_s2051" type="#_x0000_t136" style="position:absolute;margin-left:0;margin-top:0;width:595.95pt;height:63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26C" w:rsidRDefault="00DF72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981171" o:spid="_x0000_s2049" type="#_x0000_t136" style="position:absolute;margin-left:0;margin-top:0;width:595.95pt;height:63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6EE"/>
    <w:rsid w:val="000A07F8"/>
    <w:rsid w:val="000D26EE"/>
    <w:rsid w:val="000F6C72"/>
    <w:rsid w:val="006259A4"/>
    <w:rsid w:val="007B741B"/>
    <w:rsid w:val="00825C8E"/>
    <w:rsid w:val="00BB3307"/>
    <w:rsid w:val="00CE2110"/>
    <w:rsid w:val="00D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EAFE489-82DC-4B12-ABC5-4145DD43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6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0A07F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CE2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110"/>
  </w:style>
  <w:style w:type="paragraph" w:styleId="Header">
    <w:name w:val="header"/>
    <w:basedOn w:val="Normal"/>
    <w:link w:val="HeaderChar"/>
    <w:uiPriority w:val="99"/>
    <w:unhideWhenUsed/>
    <w:rsid w:val="00DF7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0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23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7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2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1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0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Dr MIchael A Prytula</cp:lastModifiedBy>
  <cp:revision>6</cp:revision>
  <dcterms:created xsi:type="dcterms:W3CDTF">2012-10-02T23:04:00Z</dcterms:created>
  <dcterms:modified xsi:type="dcterms:W3CDTF">2016-08-22T10:26:00Z</dcterms:modified>
</cp:coreProperties>
</file>